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Результаты работы прокуратуры Ленинградской области по проведению антикоррупционной экспертизы нормативных правовых актов в 2024 году.</w:t>
      </w:r>
    </w:p>
    <w:p w14:paraId="02000000">
      <w:pPr>
        <w:widowControl w:val="0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3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За 2024 год </w:t>
      </w:r>
      <w:r>
        <w:rPr>
          <w:rFonts w:ascii="Times New Roman" w:hAnsi="Times New Roman"/>
          <w:sz w:val="28"/>
        </w:rPr>
        <w:t xml:space="preserve">выявлено </w:t>
      </w:r>
      <w:r>
        <w:rPr>
          <w:rFonts w:ascii="Times New Roman" w:hAnsi="Times New Roman"/>
          <w:sz w:val="28"/>
        </w:rPr>
        <w:t>974 (844, +15,4%) нормативных правовых акта, содержащих 1025 (890, +15,2%) коррупциогенных факторов, по результатам принятых мер прокурорского реагирования исключено 997 (871, +14,5%) факторов.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608 (624 -2,6%) коррупциогенных факторов выявлено в </w:t>
      </w:r>
      <w:r>
        <w:rPr>
          <w:rFonts w:ascii="Times New Roman" w:hAnsi="Times New Roman"/>
          <w:sz w:val="28"/>
        </w:rPr>
        <w:t xml:space="preserve">                                      </w:t>
      </w:r>
      <w:r>
        <w:rPr>
          <w:rFonts w:ascii="Times New Roman" w:hAnsi="Times New Roman"/>
          <w:sz w:val="28"/>
        </w:rPr>
        <w:t>589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(560, +5,2%) проектах нормативных правовых актов, по результатам прокурорского вмешательства исключено 579 (598, -3,2%) факторов.</w:t>
      </w:r>
    </w:p>
    <w:p w14:paraId="05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2E3CED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Наибольшее </w:t>
      </w:r>
      <w:r>
        <w:rPr>
          <w:rFonts w:ascii="Times New Roman" w:hAnsi="Times New Roman"/>
          <w:b w:val="0"/>
          <w:sz w:val="28"/>
        </w:rPr>
        <w:t xml:space="preserve">наибольшее количество коррупциогенных факторов выявлено в актах, регламентирующих правоотношения, </w:t>
      </w:r>
      <w:r>
        <w:rPr>
          <w:rFonts w:ascii="Times New Roman" w:hAnsi="Times New Roman"/>
          <w:sz w:val="28"/>
        </w:rPr>
        <w:t xml:space="preserve">касающиеся </w:t>
      </w:r>
      <w:r>
        <w:rPr>
          <w:rFonts w:ascii="Times New Roman" w:hAnsi="Times New Roman"/>
          <w:sz w:val="28"/>
        </w:rPr>
        <w:t xml:space="preserve"> предоставления государственных и муниципальных услуг – 185 (206), а также государственной и муниципальной службы – 286 (189)</w:t>
      </w:r>
      <w:r>
        <w:rPr>
          <w:rFonts w:ascii="Times New Roman" w:hAnsi="Times New Roman"/>
          <w:sz w:val="28"/>
        </w:rPr>
        <w:t>.</w:t>
      </w:r>
    </w:p>
    <w:p w14:paraId="0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2E3CED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Balloon Text"/>
    <w:basedOn w:val="Style_1"/>
    <w:link w:val="Style_1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1_ch"/>
    <w:link w:val="Style_10"/>
    <w:rPr>
      <w:rFonts w:ascii="Segoe UI" w:hAnsi="Segoe UI"/>
      <w:sz w:val="18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header"/>
    <w:basedOn w:val="Style_1"/>
    <w:link w:val="Style_1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header"/>
    <w:basedOn w:val="Style_1_ch"/>
    <w:link w:val="Style_17"/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footer"/>
    <w:basedOn w:val="Style_1"/>
    <w:link w:val="Style_1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1_ch"/>
    <w:link w:val="Style_19"/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2021-11-01T05:36:00Z</dcterms:created>
  <dcterms:modified xsi:type="dcterms:W3CDTF">2026-09-24T14:20:17Z</dcterms:modified>
</cp:coreProperties>
</file>